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24" w:rsidRDefault="00C84F8E" w:rsidP="00C84F8E">
      <w:pPr>
        <w:pStyle w:val="Balk3"/>
        <w:jc w:val="both"/>
        <w:rPr>
          <w:rFonts w:ascii="Verdana" w:hAnsi="Verdana"/>
          <w:b w:val="0"/>
          <w:sz w:val="20"/>
          <w:szCs w:val="20"/>
        </w:rPr>
      </w:pPr>
      <w:r w:rsidRPr="00F70524">
        <w:rPr>
          <w:rFonts w:ascii="Verdana" w:hAnsi="Verdana"/>
          <w:sz w:val="20"/>
          <w:szCs w:val="20"/>
        </w:rPr>
        <w:t xml:space="preserve">1. </w:t>
      </w:r>
      <w:proofErr w:type="gramStart"/>
      <w:r w:rsidRPr="00F70524">
        <w:rPr>
          <w:rFonts w:ascii="Verdana" w:hAnsi="Verdana"/>
          <w:sz w:val="20"/>
          <w:szCs w:val="20"/>
        </w:rPr>
        <w:t xml:space="preserve">AMAÇ </w:t>
      </w:r>
      <w:r w:rsidR="00F70524" w:rsidRPr="00F70524">
        <w:rPr>
          <w:rFonts w:ascii="Verdana" w:hAnsi="Verdana"/>
          <w:sz w:val="20"/>
          <w:szCs w:val="20"/>
        </w:rPr>
        <w:t xml:space="preserve">: </w:t>
      </w:r>
      <w:r w:rsidR="0061563E" w:rsidRPr="00902855">
        <w:rPr>
          <w:rFonts w:ascii="Verdana" w:hAnsi="Verdana"/>
          <w:b w:val="0"/>
          <w:sz w:val="20"/>
          <w:szCs w:val="20"/>
        </w:rPr>
        <w:t>Kilim</w:t>
      </w:r>
      <w:proofErr w:type="gramEnd"/>
      <w:r w:rsidR="0061563E" w:rsidRPr="00902855">
        <w:rPr>
          <w:rFonts w:ascii="Verdana" w:hAnsi="Verdana"/>
          <w:b w:val="0"/>
          <w:sz w:val="20"/>
          <w:szCs w:val="20"/>
        </w:rPr>
        <w:t xml:space="preserve"> Mobilya Kanepe San. Ve Tic.</w:t>
      </w:r>
      <w:r w:rsidR="00D91C8B" w:rsidRPr="00902855">
        <w:rPr>
          <w:rFonts w:ascii="Verdana" w:hAnsi="Verdana"/>
          <w:b w:val="0"/>
          <w:sz w:val="20"/>
          <w:szCs w:val="20"/>
        </w:rPr>
        <w:t xml:space="preserve"> </w:t>
      </w:r>
      <w:r w:rsidR="003702BB" w:rsidRPr="00902855">
        <w:rPr>
          <w:rFonts w:ascii="Verdana" w:hAnsi="Verdana"/>
          <w:b w:val="0"/>
          <w:sz w:val="20"/>
          <w:szCs w:val="20"/>
        </w:rPr>
        <w:t>A</w:t>
      </w:r>
      <w:r w:rsidR="00C71E2B" w:rsidRPr="00902855">
        <w:rPr>
          <w:rFonts w:ascii="Verdana" w:hAnsi="Verdana"/>
          <w:b w:val="0"/>
          <w:sz w:val="20"/>
          <w:szCs w:val="20"/>
        </w:rPr>
        <w:t>.</w:t>
      </w:r>
      <w:r w:rsidR="003702BB" w:rsidRPr="00902855">
        <w:rPr>
          <w:rFonts w:ascii="Verdana" w:hAnsi="Verdana"/>
          <w:b w:val="0"/>
          <w:sz w:val="20"/>
          <w:szCs w:val="20"/>
        </w:rPr>
        <w:t xml:space="preserve">Ş </w:t>
      </w:r>
      <w:r w:rsidR="00C71E2B" w:rsidRPr="00902855">
        <w:rPr>
          <w:rFonts w:ascii="Verdana" w:hAnsi="Verdana"/>
          <w:b w:val="0"/>
          <w:sz w:val="20"/>
          <w:szCs w:val="20"/>
        </w:rPr>
        <w:t>‘d</w:t>
      </w:r>
      <w:r w:rsidR="00C71E2B">
        <w:rPr>
          <w:rFonts w:ascii="Verdana" w:hAnsi="Verdana"/>
          <w:b w:val="0"/>
          <w:sz w:val="20"/>
          <w:szCs w:val="20"/>
        </w:rPr>
        <w:t xml:space="preserve">e </w:t>
      </w:r>
      <w:r w:rsidR="00EF5F2B">
        <w:rPr>
          <w:rFonts w:ascii="Verdana" w:hAnsi="Verdana"/>
          <w:b w:val="0"/>
          <w:sz w:val="20"/>
          <w:szCs w:val="20"/>
        </w:rPr>
        <w:t xml:space="preserve">belirlenen </w:t>
      </w:r>
      <w:proofErr w:type="gramStart"/>
      <w:r w:rsidR="00EF5F2B">
        <w:rPr>
          <w:rFonts w:ascii="Verdana" w:hAnsi="Verdana"/>
          <w:b w:val="0"/>
          <w:sz w:val="20"/>
          <w:szCs w:val="20"/>
        </w:rPr>
        <w:t>vizyon</w:t>
      </w:r>
      <w:proofErr w:type="gramEnd"/>
      <w:r w:rsidR="00EF5F2B">
        <w:rPr>
          <w:rFonts w:ascii="Verdana" w:hAnsi="Verdana"/>
          <w:b w:val="0"/>
          <w:sz w:val="20"/>
          <w:szCs w:val="20"/>
        </w:rPr>
        <w:t xml:space="preserve"> ve misyona uygun Tedarik Zinciri Yönetimi</w:t>
      </w:r>
      <w:r w:rsidR="00F70524" w:rsidRPr="00F70524">
        <w:rPr>
          <w:rFonts w:ascii="Verdana" w:hAnsi="Verdana"/>
          <w:b w:val="0"/>
          <w:sz w:val="20"/>
          <w:szCs w:val="20"/>
        </w:rPr>
        <w:t xml:space="preserve"> strateji geliştirme </w:t>
      </w:r>
      <w:r w:rsidR="003702BB" w:rsidRPr="00F70524">
        <w:rPr>
          <w:rFonts w:ascii="Verdana" w:hAnsi="Verdana"/>
          <w:b w:val="0"/>
          <w:sz w:val="20"/>
          <w:szCs w:val="20"/>
        </w:rPr>
        <w:t>standard</w:t>
      </w:r>
      <w:r w:rsidR="003702BB">
        <w:rPr>
          <w:rFonts w:ascii="Verdana" w:hAnsi="Verdana"/>
          <w:b w:val="0"/>
          <w:sz w:val="20"/>
          <w:szCs w:val="20"/>
        </w:rPr>
        <w:t>ının</w:t>
      </w:r>
      <w:r w:rsidR="00F70524" w:rsidRPr="00F70524">
        <w:rPr>
          <w:rFonts w:ascii="Verdana" w:hAnsi="Verdana"/>
          <w:b w:val="0"/>
          <w:sz w:val="20"/>
          <w:szCs w:val="20"/>
        </w:rPr>
        <w:t xml:space="preserve"> belirlenmesi</w:t>
      </w:r>
      <w:r w:rsidR="003702BB">
        <w:rPr>
          <w:rFonts w:ascii="Verdana" w:hAnsi="Verdana"/>
          <w:b w:val="0"/>
          <w:sz w:val="20"/>
          <w:szCs w:val="20"/>
        </w:rPr>
        <w:t>.</w:t>
      </w:r>
    </w:p>
    <w:p w:rsidR="003702BB" w:rsidRDefault="003702BB" w:rsidP="003702BB"/>
    <w:p w:rsidR="00C84F8E" w:rsidRPr="00F70524" w:rsidRDefault="00F70524" w:rsidP="00C84F8E">
      <w:pPr>
        <w:pStyle w:val="Balk3"/>
        <w:jc w:val="both"/>
        <w:rPr>
          <w:rFonts w:ascii="Verdana" w:hAnsi="Verdana"/>
          <w:b w:val="0"/>
          <w:sz w:val="20"/>
          <w:szCs w:val="20"/>
        </w:rPr>
      </w:pPr>
      <w:r w:rsidRPr="00F70524">
        <w:rPr>
          <w:rFonts w:ascii="Verdana" w:hAnsi="Verdana"/>
          <w:sz w:val="20"/>
          <w:szCs w:val="20"/>
        </w:rPr>
        <w:t xml:space="preserve">2. </w:t>
      </w:r>
      <w:proofErr w:type="gramStart"/>
      <w:r w:rsidR="00C84F8E" w:rsidRPr="00F70524">
        <w:rPr>
          <w:rFonts w:ascii="Verdana" w:hAnsi="Verdana"/>
          <w:sz w:val="20"/>
          <w:szCs w:val="20"/>
        </w:rPr>
        <w:t>KAPSAM :</w:t>
      </w:r>
      <w:r w:rsidR="00C84F8E" w:rsidRPr="00F70524">
        <w:rPr>
          <w:rFonts w:ascii="Verdana" w:hAnsi="Verdana"/>
          <w:b w:val="0"/>
          <w:sz w:val="20"/>
          <w:szCs w:val="20"/>
        </w:rPr>
        <w:t xml:space="preserve"> </w:t>
      </w:r>
      <w:r w:rsidR="00EF5F2B">
        <w:rPr>
          <w:rFonts w:ascii="Verdana" w:hAnsi="Verdana"/>
          <w:b w:val="0"/>
          <w:sz w:val="20"/>
          <w:szCs w:val="20"/>
        </w:rPr>
        <w:t>Tedarik</w:t>
      </w:r>
      <w:proofErr w:type="gramEnd"/>
      <w:r w:rsidR="00EF5F2B">
        <w:rPr>
          <w:rFonts w:ascii="Verdana" w:hAnsi="Verdana"/>
          <w:b w:val="0"/>
          <w:sz w:val="20"/>
          <w:szCs w:val="20"/>
        </w:rPr>
        <w:t xml:space="preserve"> Zincir Yönetimi ile ilgili tüm konular.</w:t>
      </w:r>
    </w:p>
    <w:p w:rsidR="00F70524" w:rsidRDefault="00F70524" w:rsidP="00F70524"/>
    <w:p w:rsidR="003702BB" w:rsidRPr="00F70524" w:rsidRDefault="003702BB" w:rsidP="00F70524"/>
    <w:p w:rsidR="00F70524" w:rsidRPr="00F70524" w:rsidRDefault="00F70524" w:rsidP="00F70524">
      <w:pPr>
        <w:rPr>
          <w:rFonts w:ascii="Verdana" w:hAnsi="Verdana"/>
        </w:rPr>
      </w:pPr>
      <w:r w:rsidRPr="00F70524">
        <w:rPr>
          <w:rFonts w:ascii="Verdana" w:hAnsi="Verdana"/>
          <w:b/>
        </w:rPr>
        <w:t xml:space="preserve">3. </w:t>
      </w:r>
      <w:proofErr w:type="gramStart"/>
      <w:r w:rsidRPr="00F70524">
        <w:rPr>
          <w:rFonts w:ascii="Verdana" w:hAnsi="Verdana"/>
          <w:b/>
        </w:rPr>
        <w:t>SORUMLULAR :</w:t>
      </w:r>
      <w:r>
        <w:rPr>
          <w:rFonts w:ascii="Verdana" w:hAnsi="Verdana"/>
          <w:b/>
        </w:rPr>
        <w:t xml:space="preserve"> </w:t>
      </w:r>
      <w:r w:rsidR="003702BB" w:rsidRPr="003702BB">
        <w:rPr>
          <w:rFonts w:ascii="Verdana" w:hAnsi="Verdana"/>
        </w:rPr>
        <w:t>Tüm</w:t>
      </w:r>
      <w:proofErr w:type="gramEnd"/>
      <w:r w:rsidR="003702BB">
        <w:rPr>
          <w:rFonts w:ascii="Verdana" w:hAnsi="Verdana"/>
        </w:rPr>
        <w:t xml:space="preserve"> Departmanlar</w:t>
      </w:r>
    </w:p>
    <w:p w:rsidR="003702BB" w:rsidRDefault="003702BB" w:rsidP="00C84F8E">
      <w:pPr>
        <w:pStyle w:val="Balk3"/>
        <w:jc w:val="both"/>
        <w:rPr>
          <w:rFonts w:ascii="Verdana" w:hAnsi="Verdana" w:cs="Times New Roman"/>
          <w:sz w:val="20"/>
          <w:szCs w:val="20"/>
        </w:rPr>
      </w:pPr>
    </w:p>
    <w:p w:rsidR="00C84F8E" w:rsidRPr="00F70524" w:rsidRDefault="00F70524" w:rsidP="00C84F8E">
      <w:pPr>
        <w:pStyle w:val="Balk3"/>
        <w:jc w:val="both"/>
        <w:rPr>
          <w:rFonts w:ascii="Verdana" w:hAnsi="Verdana" w:cs="Times New Roman"/>
          <w:bCs w:val="0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4</w:t>
      </w:r>
      <w:r w:rsidR="00C84F8E" w:rsidRPr="00F70524">
        <w:rPr>
          <w:rFonts w:ascii="Verdana" w:hAnsi="Verdana" w:cs="Times New Roman"/>
          <w:sz w:val="20"/>
          <w:szCs w:val="20"/>
        </w:rPr>
        <w:t xml:space="preserve">. </w:t>
      </w:r>
      <w:proofErr w:type="gramStart"/>
      <w:r w:rsidR="00C84F8E" w:rsidRPr="00F70524">
        <w:rPr>
          <w:rFonts w:ascii="Verdana" w:hAnsi="Verdana" w:cs="Times New Roman"/>
          <w:sz w:val="20"/>
          <w:szCs w:val="20"/>
        </w:rPr>
        <w:t>TANIMLAR :</w:t>
      </w:r>
      <w:r w:rsidR="00C84F8E" w:rsidRPr="00F70524">
        <w:rPr>
          <w:rFonts w:ascii="Verdana" w:hAnsi="Verdana" w:cs="Times New Roman"/>
          <w:bCs w:val="0"/>
          <w:sz w:val="20"/>
          <w:szCs w:val="20"/>
        </w:rPr>
        <w:t xml:space="preserve"> </w:t>
      </w:r>
      <w:r w:rsidR="00C84F8E" w:rsidRPr="00721A04">
        <w:rPr>
          <w:rFonts w:ascii="Verdana" w:hAnsi="Verdana" w:cs="Times New Roman"/>
          <w:b w:val="0"/>
          <w:bCs w:val="0"/>
          <w:sz w:val="20"/>
          <w:szCs w:val="20"/>
        </w:rPr>
        <w:t>Strateji</w:t>
      </w:r>
      <w:proofErr w:type="gramEnd"/>
      <w:r w:rsidR="00C84F8E" w:rsidRPr="00721A04">
        <w:rPr>
          <w:rFonts w:ascii="Verdana" w:hAnsi="Verdana" w:cs="Times New Roman"/>
          <w:b w:val="0"/>
          <w:bCs w:val="0"/>
          <w:sz w:val="20"/>
          <w:szCs w:val="20"/>
        </w:rPr>
        <w:t xml:space="preserve"> Geliştirirken Dikkat Edeceğimiz Hususlar</w:t>
      </w:r>
      <w:r w:rsidR="00721A04">
        <w:rPr>
          <w:rFonts w:ascii="Verdana" w:hAnsi="Verdana" w:cs="Times New Roman"/>
          <w:b w:val="0"/>
          <w:bCs w:val="0"/>
          <w:sz w:val="20"/>
          <w:szCs w:val="20"/>
        </w:rPr>
        <w:t>;</w:t>
      </w:r>
    </w:p>
    <w:p w:rsidR="00721A04" w:rsidRDefault="00F70524" w:rsidP="00F70524">
      <w:pPr>
        <w:jc w:val="both"/>
        <w:rPr>
          <w:rFonts w:ascii="Verdana" w:hAnsi="Verdana"/>
          <w:b/>
        </w:rPr>
      </w:pPr>
      <w:r w:rsidRPr="00F70524">
        <w:rPr>
          <w:rFonts w:ascii="Verdana" w:hAnsi="Verdana"/>
          <w:b/>
        </w:rPr>
        <w:t xml:space="preserve">    </w:t>
      </w:r>
    </w:p>
    <w:p w:rsidR="00F70524" w:rsidRPr="00F70524" w:rsidRDefault="00C84F8E" w:rsidP="00721A04">
      <w:pPr>
        <w:ind w:left="705" w:firstLine="3"/>
        <w:jc w:val="both"/>
        <w:rPr>
          <w:rFonts w:ascii="Verdana" w:hAnsi="Verdana"/>
        </w:rPr>
      </w:pPr>
      <w:r w:rsidRPr="00F70524">
        <w:rPr>
          <w:rFonts w:ascii="Verdana" w:hAnsi="Verdana"/>
          <w:b/>
        </w:rPr>
        <w:t>Odaklanmak:</w:t>
      </w:r>
      <w:r w:rsidRPr="00F70524">
        <w:rPr>
          <w:rFonts w:ascii="Verdana" w:hAnsi="Verdana"/>
        </w:rPr>
        <w:t xml:space="preserve"> </w:t>
      </w:r>
      <w:r w:rsidR="00C71E2B" w:rsidRPr="00F70524">
        <w:rPr>
          <w:rFonts w:ascii="Verdana" w:hAnsi="Verdana"/>
        </w:rPr>
        <w:t>Enerji</w:t>
      </w:r>
      <w:r w:rsidR="00C71E2B">
        <w:rPr>
          <w:rFonts w:ascii="Verdana" w:hAnsi="Verdana"/>
        </w:rPr>
        <w:t xml:space="preserve"> ve kaynaklarımızı belirlenmiş olan hedeflerimiz do</w:t>
      </w:r>
      <w:r w:rsidR="003702BB">
        <w:rPr>
          <w:rFonts w:ascii="Verdana" w:hAnsi="Verdana"/>
        </w:rPr>
        <w:t>ğ</w:t>
      </w:r>
      <w:r w:rsidR="00C71E2B">
        <w:rPr>
          <w:rFonts w:ascii="Verdana" w:hAnsi="Verdana"/>
        </w:rPr>
        <w:t>rultusunda odaklayarak</w:t>
      </w:r>
      <w:r w:rsidR="004D63CA">
        <w:rPr>
          <w:rFonts w:ascii="Verdana" w:hAnsi="Verdana"/>
        </w:rPr>
        <w:t xml:space="preserve">, </w:t>
      </w:r>
      <w:r w:rsidR="00C71E2B">
        <w:rPr>
          <w:rFonts w:ascii="Verdana" w:hAnsi="Verdana"/>
        </w:rPr>
        <w:t xml:space="preserve">piyasa </w:t>
      </w:r>
      <w:r w:rsidR="004D63CA">
        <w:rPr>
          <w:rFonts w:ascii="Verdana" w:hAnsi="Verdana"/>
        </w:rPr>
        <w:t xml:space="preserve">değişkenliği </w:t>
      </w:r>
      <w:r w:rsidR="00C71E2B">
        <w:rPr>
          <w:rFonts w:ascii="Verdana" w:hAnsi="Verdana"/>
        </w:rPr>
        <w:t>ve</w:t>
      </w:r>
      <w:r w:rsidR="004D63CA">
        <w:rPr>
          <w:rFonts w:ascii="Verdana" w:hAnsi="Verdana"/>
        </w:rPr>
        <w:t xml:space="preserve"> mevcut</w:t>
      </w:r>
      <w:r w:rsidR="00C71E2B">
        <w:rPr>
          <w:rFonts w:ascii="Verdana" w:hAnsi="Verdana"/>
        </w:rPr>
        <w:t xml:space="preserve"> rakipler</w:t>
      </w:r>
      <w:r w:rsidR="004D63CA">
        <w:rPr>
          <w:rFonts w:ascii="Verdana" w:hAnsi="Verdana"/>
        </w:rPr>
        <w:t xml:space="preserve">, yeni oluşabilecek rakiplere </w:t>
      </w:r>
      <w:r w:rsidR="00C71E2B">
        <w:rPr>
          <w:rFonts w:ascii="Verdana" w:hAnsi="Verdana"/>
        </w:rPr>
        <w:t xml:space="preserve">karşı her zaman </w:t>
      </w:r>
      <w:r w:rsidR="004D63CA">
        <w:rPr>
          <w:rFonts w:ascii="Verdana" w:hAnsi="Verdana"/>
        </w:rPr>
        <w:t>hazır durumda olabilme ergini göstermeliyiz.</w:t>
      </w:r>
      <w:r w:rsidRPr="00F70524">
        <w:rPr>
          <w:rFonts w:ascii="Verdana" w:hAnsi="Verdana"/>
        </w:rPr>
        <w:t xml:space="preserve"> </w:t>
      </w:r>
    </w:p>
    <w:p w:rsidR="00C84F8E" w:rsidRPr="00F70524" w:rsidRDefault="00C84F8E" w:rsidP="00F70524">
      <w:pPr>
        <w:jc w:val="both"/>
        <w:rPr>
          <w:rFonts w:ascii="Verdana" w:hAnsi="Verdana"/>
        </w:rPr>
      </w:pPr>
      <w:r w:rsidRPr="00F70524">
        <w:rPr>
          <w:rFonts w:ascii="Verdana" w:hAnsi="Verdana"/>
        </w:rPr>
        <w:t xml:space="preserve"> </w:t>
      </w:r>
    </w:p>
    <w:p w:rsidR="00C84F8E" w:rsidRPr="00F70524" w:rsidRDefault="00C84F8E" w:rsidP="00721A04">
      <w:pPr>
        <w:ind w:left="705" w:firstLine="3"/>
        <w:jc w:val="both"/>
        <w:rPr>
          <w:rFonts w:ascii="Verdana" w:hAnsi="Verdana"/>
        </w:rPr>
      </w:pPr>
      <w:r w:rsidRPr="00F70524">
        <w:rPr>
          <w:rFonts w:ascii="Verdana" w:hAnsi="Verdana"/>
          <w:b/>
        </w:rPr>
        <w:t>Hazırlıklı olmak:</w:t>
      </w:r>
      <w:r w:rsidRPr="00F70524">
        <w:rPr>
          <w:rFonts w:ascii="Verdana" w:hAnsi="Verdana"/>
        </w:rPr>
        <w:t xml:space="preserve"> Raki</w:t>
      </w:r>
      <w:r w:rsidR="003702BB">
        <w:rPr>
          <w:rFonts w:ascii="Verdana" w:hAnsi="Verdana"/>
        </w:rPr>
        <w:t>p varsa, Pazar vardır mantığıyla</w:t>
      </w:r>
      <w:r w:rsidR="004D63CA">
        <w:rPr>
          <w:rFonts w:ascii="Verdana" w:hAnsi="Verdana"/>
        </w:rPr>
        <w:t xml:space="preserve"> hareket ederek, rakiplerinde aynı </w:t>
      </w:r>
      <w:r w:rsidR="003702BB">
        <w:rPr>
          <w:rFonts w:ascii="Verdana" w:hAnsi="Verdana"/>
        </w:rPr>
        <w:t>mantaliteden</w:t>
      </w:r>
      <w:r w:rsidR="004D63CA">
        <w:rPr>
          <w:rFonts w:ascii="Verdana" w:hAnsi="Verdana"/>
        </w:rPr>
        <w:t xml:space="preserve"> hareket ettiğini varsayarak; </w:t>
      </w:r>
      <w:r w:rsidRPr="00F70524">
        <w:rPr>
          <w:rFonts w:ascii="Verdana" w:hAnsi="Verdana"/>
        </w:rPr>
        <w:t>hamleleri</w:t>
      </w:r>
      <w:r w:rsidR="004D63CA">
        <w:rPr>
          <w:rFonts w:ascii="Verdana" w:hAnsi="Verdana"/>
        </w:rPr>
        <w:t xml:space="preserve">mizi </w:t>
      </w:r>
      <w:r w:rsidR="00295F3A">
        <w:rPr>
          <w:rFonts w:ascii="Verdana" w:hAnsi="Verdana"/>
        </w:rPr>
        <w:t xml:space="preserve">sürekli, planlar </w:t>
      </w:r>
      <w:proofErr w:type="gramStart"/>
      <w:r w:rsidR="00295F3A">
        <w:rPr>
          <w:rFonts w:ascii="Verdana" w:hAnsi="Verdana"/>
        </w:rPr>
        <w:t>dahilinde</w:t>
      </w:r>
      <w:proofErr w:type="gramEnd"/>
      <w:r w:rsidR="00295F3A">
        <w:rPr>
          <w:rFonts w:ascii="Verdana" w:hAnsi="Verdana"/>
        </w:rPr>
        <w:t xml:space="preserve"> A B C gibi alternatifli olarak hazır tutmamız gerekmektedir.</w:t>
      </w:r>
      <w:r w:rsidRPr="00F70524">
        <w:rPr>
          <w:rFonts w:ascii="Verdana" w:hAnsi="Verdana"/>
        </w:rPr>
        <w:t xml:space="preserve"> </w:t>
      </w:r>
    </w:p>
    <w:p w:rsidR="00F70524" w:rsidRPr="00D96C0E" w:rsidRDefault="00F70524" w:rsidP="00C84F8E">
      <w:pPr>
        <w:jc w:val="both"/>
        <w:rPr>
          <w:rFonts w:ascii="Verdana" w:hAnsi="Verdana"/>
        </w:rPr>
      </w:pPr>
    </w:p>
    <w:p w:rsidR="00295F3A" w:rsidRDefault="00C84F8E" w:rsidP="00721A04">
      <w:pPr>
        <w:ind w:left="705"/>
        <w:jc w:val="both"/>
        <w:rPr>
          <w:rFonts w:ascii="Verdana" w:hAnsi="Verdana"/>
        </w:rPr>
      </w:pPr>
      <w:r w:rsidRPr="00D96C0E">
        <w:rPr>
          <w:rFonts w:ascii="Verdana" w:hAnsi="Verdana"/>
          <w:b/>
        </w:rPr>
        <w:t>Farklılaşmak:</w:t>
      </w:r>
      <w:r w:rsidRPr="00D96C0E">
        <w:rPr>
          <w:rFonts w:ascii="Verdana" w:hAnsi="Verdana"/>
        </w:rPr>
        <w:t xml:space="preserve"> </w:t>
      </w:r>
      <w:r w:rsidR="003702BB">
        <w:rPr>
          <w:rFonts w:ascii="Verdana" w:hAnsi="Verdana"/>
        </w:rPr>
        <w:t>F</w:t>
      </w:r>
      <w:r w:rsidR="00295F3A">
        <w:rPr>
          <w:rFonts w:ascii="Verdana" w:hAnsi="Verdana"/>
        </w:rPr>
        <w:t>arklılaşmak bir realite olduğu kadarda bir cesarettir.</w:t>
      </w:r>
      <w:r w:rsidR="003702BB">
        <w:rPr>
          <w:rFonts w:ascii="Verdana" w:hAnsi="Verdana"/>
        </w:rPr>
        <w:t xml:space="preserve"> </w:t>
      </w:r>
      <w:r w:rsidRPr="00D96C0E">
        <w:rPr>
          <w:rFonts w:ascii="Verdana" w:hAnsi="Verdana"/>
        </w:rPr>
        <w:t>Rakipler</w:t>
      </w:r>
      <w:r w:rsidR="00295F3A">
        <w:rPr>
          <w:rFonts w:ascii="Verdana" w:hAnsi="Verdana"/>
        </w:rPr>
        <w:t>den ne kadar farklı olabiliyorsak o</w:t>
      </w:r>
      <w:r w:rsidR="003702BB">
        <w:rPr>
          <w:rFonts w:ascii="Verdana" w:hAnsi="Verdana"/>
        </w:rPr>
        <w:t xml:space="preserve"> </w:t>
      </w:r>
      <w:r w:rsidR="00295F3A">
        <w:rPr>
          <w:rFonts w:ascii="Verdana" w:hAnsi="Verdana"/>
        </w:rPr>
        <w:t xml:space="preserve">kadar fark ediliyoruz demektir. </w:t>
      </w:r>
      <w:r w:rsidR="003702BB">
        <w:rPr>
          <w:rFonts w:ascii="Verdana" w:hAnsi="Verdana"/>
        </w:rPr>
        <w:t>Farklılaşma</w:t>
      </w:r>
      <w:r w:rsidR="00295F3A">
        <w:rPr>
          <w:rFonts w:ascii="Verdana" w:hAnsi="Verdana"/>
        </w:rPr>
        <w:t xml:space="preserve">; fiyat, ürün, sunum, satış sonrası hizmet,  mağaza </w:t>
      </w:r>
      <w:proofErr w:type="spellStart"/>
      <w:r w:rsidR="00295F3A">
        <w:rPr>
          <w:rFonts w:ascii="Verdana" w:hAnsi="Verdana"/>
        </w:rPr>
        <w:t>conceptleri</w:t>
      </w:r>
      <w:proofErr w:type="spellEnd"/>
      <w:r w:rsidR="00295F3A">
        <w:rPr>
          <w:rFonts w:ascii="Verdana" w:hAnsi="Verdana"/>
        </w:rPr>
        <w:t xml:space="preserve"> vs. gibi konularda olabilir.</w:t>
      </w:r>
    </w:p>
    <w:p w:rsidR="00295F3A" w:rsidRDefault="00295F3A" w:rsidP="00721A04">
      <w:pPr>
        <w:ind w:left="705"/>
        <w:jc w:val="both"/>
        <w:rPr>
          <w:rFonts w:ascii="Verdana" w:hAnsi="Verdana"/>
          <w:b/>
        </w:rPr>
      </w:pPr>
    </w:p>
    <w:p w:rsidR="00C84F8E" w:rsidRDefault="00C84F8E" w:rsidP="00721A04">
      <w:pPr>
        <w:ind w:left="705"/>
        <w:jc w:val="both"/>
        <w:rPr>
          <w:sz w:val="22"/>
          <w:szCs w:val="22"/>
        </w:rPr>
      </w:pPr>
      <w:r w:rsidRPr="00D96C0E">
        <w:rPr>
          <w:rFonts w:ascii="Verdana" w:hAnsi="Verdana"/>
          <w:b/>
        </w:rPr>
        <w:t>Cesur olmak:</w:t>
      </w:r>
      <w:r w:rsidRPr="00D96C0E">
        <w:rPr>
          <w:rFonts w:ascii="Verdana" w:hAnsi="Verdana"/>
        </w:rPr>
        <w:t xml:space="preserve"> </w:t>
      </w:r>
      <w:r w:rsidR="00F15DF6">
        <w:rPr>
          <w:rFonts w:ascii="Verdana" w:hAnsi="Verdana"/>
        </w:rPr>
        <w:t>G</w:t>
      </w:r>
      <w:r w:rsidR="004404C4">
        <w:rPr>
          <w:rFonts w:ascii="Verdana" w:hAnsi="Verdana"/>
        </w:rPr>
        <w:t xml:space="preserve">eleneğin yanında yenilik bir cesarettir. Fikirlerin köşelerinin yok olduğu ve daha </w:t>
      </w:r>
      <w:proofErr w:type="spellStart"/>
      <w:r w:rsidR="004404C4">
        <w:rPr>
          <w:rFonts w:ascii="Verdana" w:hAnsi="Verdana"/>
        </w:rPr>
        <w:t>softlaştığı</w:t>
      </w:r>
      <w:proofErr w:type="spellEnd"/>
      <w:r w:rsidR="004404C4">
        <w:rPr>
          <w:rFonts w:ascii="Verdana" w:hAnsi="Verdana"/>
        </w:rPr>
        <w:t xml:space="preserve"> bir piyasa ortamında, yenilikçi fikirlerimizi </w:t>
      </w:r>
      <w:r w:rsidRPr="00D96C0E">
        <w:rPr>
          <w:rFonts w:ascii="Verdana" w:hAnsi="Verdana"/>
        </w:rPr>
        <w:t xml:space="preserve">hayata geçirmekten korkmayacağız. İlk olmaktan çekinmeyeceğiz. </w:t>
      </w:r>
      <w:r w:rsidR="003C6167">
        <w:rPr>
          <w:rFonts w:ascii="Verdana" w:hAnsi="Verdana"/>
        </w:rPr>
        <w:t>Beklenin ötesinde piyasa ve tüketiciyi şaşırtmalıyız</w:t>
      </w:r>
      <w:r w:rsidRPr="00D96C0E">
        <w:rPr>
          <w:rFonts w:ascii="Verdana" w:hAnsi="Verdana"/>
        </w:rPr>
        <w:t>.</w:t>
      </w:r>
      <w:r w:rsidR="003C6167">
        <w:rPr>
          <w:rFonts w:ascii="Verdana" w:hAnsi="Verdana"/>
        </w:rPr>
        <w:t xml:space="preserve"> Sürprizlerimiz hep olmalı ve devam etmeli.</w:t>
      </w:r>
    </w:p>
    <w:p w:rsidR="00C84F8E" w:rsidRDefault="00C84F8E" w:rsidP="00C84F8E">
      <w:pPr>
        <w:jc w:val="both"/>
        <w:rPr>
          <w:b/>
          <w:sz w:val="22"/>
          <w:szCs w:val="22"/>
        </w:rPr>
      </w:pPr>
    </w:p>
    <w:p w:rsidR="003702BB" w:rsidRDefault="003702BB" w:rsidP="00C84F8E">
      <w:pPr>
        <w:rPr>
          <w:rFonts w:ascii="Verdana" w:hAnsi="Verdana"/>
          <w:b/>
        </w:rPr>
      </w:pPr>
    </w:p>
    <w:p w:rsidR="00C84F8E" w:rsidRDefault="00F70524" w:rsidP="00C84F8E">
      <w:pPr>
        <w:rPr>
          <w:rFonts w:ascii="Verdana" w:hAnsi="Verdana"/>
          <w:b/>
        </w:rPr>
      </w:pPr>
      <w:r w:rsidRPr="00F70524">
        <w:rPr>
          <w:rFonts w:ascii="Verdana" w:hAnsi="Verdana"/>
          <w:b/>
        </w:rPr>
        <w:t>5</w:t>
      </w:r>
      <w:r w:rsidR="00C84F8E">
        <w:rPr>
          <w:b/>
          <w:sz w:val="22"/>
          <w:szCs w:val="22"/>
        </w:rPr>
        <w:t>.</w:t>
      </w:r>
      <w:r>
        <w:rPr>
          <w:rFonts w:ascii="Verdana" w:hAnsi="Verdana"/>
          <w:b/>
        </w:rPr>
        <w:t xml:space="preserve"> </w:t>
      </w:r>
      <w:proofErr w:type="gramStart"/>
      <w:r>
        <w:rPr>
          <w:rFonts w:ascii="Verdana" w:hAnsi="Verdana"/>
          <w:b/>
        </w:rPr>
        <w:t>İŞLEM :</w:t>
      </w:r>
      <w:proofErr w:type="gramEnd"/>
    </w:p>
    <w:p w:rsidR="00721A04" w:rsidRPr="00D96C0E" w:rsidRDefault="00721A04" w:rsidP="00C84F8E">
      <w:pPr>
        <w:rPr>
          <w:rFonts w:ascii="Verdana" w:hAnsi="Verdana"/>
          <w:b/>
        </w:rPr>
      </w:pPr>
    </w:p>
    <w:p w:rsidR="00C84F8E" w:rsidRPr="00D96C0E" w:rsidRDefault="00C84F8E" w:rsidP="00F70524">
      <w:pPr>
        <w:numPr>
          <w:ilvl w:val="1"/>
          <w:numId w:val="7"/>
        </w:numPr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1563E">
        <w:rPr>
          <w:rFonts w:ascii="Verdana" w:hAnsi="Verdana"/>
          <w:b/>
        </w:rPr>
        <w:t>KİLİM</w:t>
      </w:r>
      <w:r w:rsidRPr="00D96C0E">
        <w:rPr>
          <w:rFonts w:ascii="Verdana" w:hAnsi="Verdana"/>
        </w:rPr>
        <w:t xml:space="preserve"> şirketlerinin orta ve uzun vadeli </w:t>
      </w:r>
      <w:r w:rsidR="00EF5F2B">
        <w:rPr>
          <w:rFonts w:ascii="Verdana" w:hAnsi="Verdana"/>
        </w:rPr>
        <w:t>Tedarik Zinciri Y</w:t>
      </w:r>
      <w:r w:rsidRPr="00D96C0E">
        <w:rPr>
          <w:rFonts w:ascii="Verdana" w:hAnsi="Verdana"/>
        </w:rPr>
        <w:t>önetim</w:t>
      </w:r>
      <w:r w:rsidR="00EF5F2B">
        <w:rPr>
          <w:rFonts w:ascii="Verdana" w:hAnsi="Verdana"/>
        </w:rPr>
        <w:t>i</w:t>
      </w:r>
      <w:r w:rsidRPr="00D96C0E">
        <w:rPr>
          <w:rFonts w:ascii="Verdana" w:hAnsi="Verdana"/>
        </w:rPr>
        <w:t xml:space="preserve"> strateji ve politikaları ve belirlenen </w:t>
      </w:r>
      <w:proofErr w:type="gramStart"/>
      <w:r w:rsidRPr="00D96C0E">
        <w:rPr>
          <w:rFonts w:ascii="Verdana" w:hAnsi="Verdana"/>
        </w:rPr>
        <w:t xml:space="preserve">bu </w:t>
      </w:r>
      <w:r w:rsidR="00F70524">
        <w:rPr>
          <w:rFonts w:ascii="Verdana" w:hAnsi="Verdana"/>
        </w:rPr>
        <w:t xml:space="preserve"> </w:t>
      </w:r>
      <w:r w:rsidRPr="00D96C0E">
        <w:rPr>
          <w:rFonts w:ascii="Verdana" w:hAnsi="Verdana"/>
        </w:rPr>
        <w:t>politikalar</w:t>
      </w:r>
      <w:proofErr w:type="gramEnd"/>
      <w:r w:rsidRPr="00D96C0E">
        <w:rPr>
          <w:rFonts w:ascii="Verdana" w:hAnsi="Verdana"/>
        </w:rPr>
        <w:t xml:space="preserve"> çerçevesinde izleyen </w:t>
      </w:r>
      <w:r w:rsidR="003C6167">
        <w:rPr>
          <w:rFonts w:ascii="Verdana" w:hAnsi="Verdana"/>
        </w:rPr>
        <w:t>dönemlerin</w:t>
      </w:r>
      <w:r w:rsidR="0099071D">
        <w:rPr>
          <w:rFonts w:ascii="Verdana" w:hAnsi="Verdana"/>
        </w:rPr>
        <w:t>de</w:t>
      </w:r>
      <w:r w:rsidRPr="00D96C0E">
        <w:rPr>
          <w:rFonts w:ascii="Verdana" w:hAnsi="Verdana"/>
        </w:rPr>
        <w:t xml:space="preserve"> kurumsal hedefleri </w:t>
      </w:r>
      <w:r w:rsidR="00EF5F2B">
        <w:rPr>
          <w:rFonts w:ascii="Verdana" w:hAnsi="Verdana"/>
        </w:rPr>
        <w:t>Tedarik Zinciri Komitesi</w:t>
      </w:r>
      <w:r w:rsidRPr="00D96C0E">
        <w:rPr>
          <w:rFonts w:ascii="Verdana" w:hAnsi="Verdana"/>
        </w:rPr>
        <w:t xml:space="preserve"> tarafından belirlenir.</w:t>
      </w:r>
    </w:p>
    <w:p w:rsidR="00C84F8E" w:rsidRPr="00D96C0E" w:rsidRDefault="00C84F8E" w:rsidP="00C84F8E">
      <w:pPr>
        <w:ind w:left="290"/>
        <w:jc w:val="both"/>
        <w:rPr>
          <w:rFonts w:ascii="Verdana" w:hAnsi="Verdana"/>
        </w:rPr>
      </w:pPr>
    </w:p>
    <w:p w:rsidR="00C84F8E" w:rsidRPr="00D96C0E" w:rsidRDefault="00264C12" w:rsidP="00F70524">
      <w:pPr>
        <w:numPr>
          <w:ilvl w:val="1"/>
          <w:numId w:val="7"/>
        </w:numPr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Komite bünyesindeki birimlerin </w:t>
      </w:r>
      <w:r w:rsidR="00C84F8E" w:rsidRPr="00D96C0E">
        <w:rPr>
          <w:rFonts w:ascii="Verdana" w:hAnsi="Verdana"/>
        </w:rPr>
        <w:t>hedefler</w:t>
      </w:r>
      <w:r>
        <w:rPr>
          <w:rFonts w:ascii="Verdana" w:hAnsi="Verdana"/>
        </w:rPr>
        <w:t>i</w:t>
      </w:r>
      <w:r w:rsidR="00C84F8E" w:rsidRPr="00D96C0E">
        <w:rPr>
          <w:rFonts w:ascii="Verdana" w:hAnsi="Verdana"/>
        </w:rPr>
        <w:t xml:space="preserve"> de kurumsal hedeflere göre kurum yöneticileri tarafından stratejik plan ve programlara göre tespit edilir ve tüm çalışanlar bu hedeflerle belirlenen strateji ve politikalara yönlendirilir.</w:t>
      </w:r>
    </w:p>
    <w:p w:rsidR="00C84F8E" w:rsidRPr="00D96C0E" w:rsidRDefault="00C84F8E" w:rsidP="00C84F8E">
      <w:pPr>
        <w:jc w:val="both"/>
        <w:rPr>
          <w:rFonts w:ascii="Verdana" w:hAnsi="Verdana"/>
        </w:rPr>
      </w:pPr>
    </w:p>
    <w:p w:rsidR="00C84F8E" w:rsidRDefault="00C84F8E" w:rsidP="00F70524">
      <w:pPr>
        <w:numPr>
          <w:ilvl w:val="1"/>
          <w:numId w:val="7"/>
        </w:numPr>
        <w:ind w:left="709" w:hanging="425"/>
        <w:jc w:val="both"/>
        <w:rPr>
          <w:rFonts w:ascii="Verdana" w:hAnsi="Verdana"/>
        </w:rPr>
      </w:pPr>
      <w:r w:rsidRPr="00D96C0E">
        <w:rPr>
          <w:rFonts w:ascii="Verdana" w:hAnsi="Verdana"/>
        </w:rPr>
        <w:t xml:space="preserve"> Stratejik planlama ile ilgili olarak stratejik planlama çalışmaları, performans programı hazırlıkları, koordinasyonu ve </w:t>
      </w:r>
      <w:r w:rsidR="00264C12">
        <w:rPr>
          <w:rFonts w:ascii="Verdana" w:hAnsi="Verdana"/>
        </w:rPr>
        <w:t>uygulamasına yönelik çalışmalar Komite tarafından belirlenerek</w:t>
      </w:r>
      <w:r w:rsidRPr="00D96C0E">
        <w:rPr>
          <w:rFonts w:ascii="Verdana" w:hAnsi="Verdana"/>
        </w:rPr>
        <w:t xml:space="preserve"> icra kurulu tarafından görevlendirilecek </w:t>
      </w:r>
      <w:r w:rsidR="00264C12">
        <w:rPr>
          <w:rFonts w:ascii="Verdana" w:hAnsi="Verdana"/>
        </w:rPr>
        <w:t>ilgililer</w:t>
      </w:r>
      <w:r w:rsidRPr="00D96C0E">
        <w:rPr>
          <w:rFonts w:ascii="Verdana" w:hAnsi="Verdana"/>
        </w:rPr>
        <w:t xml:space="preserve"> tarafından hazırlanır. </w:t>
      </w:r>
    </w:p>
    <w:p w:rsidR="003702BB" w:rsidRDefault="003702BB" w:rsidP="003702BB">
      <w:pPr>
        <w:pStyle w:val="ListeParagraf"/>
        <w:rPr>
          <w:rFonts w:ascii="Verdana" w:hAnsi="Verdana"/>
        </w:rPr>
      </w:pPr>
    </w:p>
    <w:p w:rsidR="00390FBA" w:rsidRDefault="00390FBA" w:rsidP="003702BB">
      <w:pPr>
        <w:pStyle w:val="ListeParagraf"/>
        <w:rPr>
          <w:rFonts w:ascii="Verdana" w:hAnsi="Verdana"/>
        </w:rPr>
      </w:pPr>
    </w:p>
    <w:p w:rsidR="00390FBA" w:rsidRDefault="00390FBA" w:rsidP="003702BB">
      <w:pPr>
        <w:pStyle w:val="ListeParagraf"/>
        <w:rPr>
          <w:rFonts w:ascii="Verdana" w:hAnsi="Verdana"/>
        </w:rPr>
      </w:pPr>
    </w:p>
    <w:p w:rsidR="00390FBA" w:rsidRDefault="00390FBA" w:rsidP="003702BB">
      <w:pPr>
        <w:pStyle w:val="ListeParagraf"/>
        <w:rPr>
          <w:rFonts w:ascii="Verdana" w:hAnsi="Verdana"/>
        </w:rPr>
      </w:pPr>
    </w:p>
    <w:p w:rsidR="00390FBA" w:rsidRDefault="00390FBA" w:rsidP="003702BB">
      <w:pPr>
        <w:pStyle w:val="ListeParagraf"/>
        <w:rPr>
          <w:rFonts w:ascii="Verdana" w:hAnsi="Verdana"/>
        </w:rPr>
      </w:pPr>
    </w:p>
    <w:p w:rsidR="00390FBA" w:rsidRDefault="00390FBA" w:rsidP="003702BB">
      <w:pPr>
        <w:pStyle w:val="ListeParagraf"/>
        <w:rPr>
          <w:rFonts w:ascii="Verdana" w:hAnsi="Verdana"/>
        </w:rPr>
      </w:pPr>
    </w:p>
    <w:p w:rsidR="00390FBA" w:rsidRDefault="00390FBA" w:rsidP="003702BB">
      <w:pPr>
        <w:pStyle w:val="ListeParagraf"/>
        <w:rPr>
          <w:rFonts w:ascii="Verdana" w:hAnsi="Verdana"/>
        </w:rPr>
      </w:pPr>
    </w:p>
    <w:p w:rsidR="00C84F8E" w:rsidRPr="00D96C0E" w:rsidRDefault="00C84F8E" w:rsidP="00F70524">
      <w:pPr>
        <w:numPr>
          <w:ilvl w:val="1"/>
          <w:numId w:val="7"/>
        </w:numPr>
        <w:ind w:left="851" w:hanging="567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="00264C12">
        <w:rPr>
          <w:rFonts w:ascii="Verdana" w:hAnsi="Verdana"/>
        </w:rPr>
        <w:t>Komite üyeleri</w:t>
      </w:r>
      <w:r w:rsidRPr="00D96C0E">
        <w:rPr>
          <w:rFonts w:ascii="Verdana" w:hAnsi="Verdana"/>
        </w:rPr>
        <w:t xml:space="preserve">, </w:t>
      </w:r>
      <w:r w:rsidR="00056D0D">
        <w:rPr>
          <w:rFonts w:ascii="Verdana" w:hAnsi="Verdana"/>
        </w:rPr>
        <w:t>yılda</w:t>
      </w:r>
      <w:r w:rsidRPr="00D96C0E">
        <w:rPr>
          <w:rFonts w:ascii="Verdana" w:hAnsi="Verdana"/>
        </w:rPr>
        <w:t xml:space="preserve"> bir toplana</w:t>
      </w:r>
      <w:r w:rsidR="00264C12">
        <w:rPr>
          <w:rFonts w:ascii="Verdana" w:hAnsi="Verdana"/>
        </w:rPr>
        <w:t>rak</w:t>
      </w:r>
      <w:r w:rsidRPr="00D96C0E">
        <w:rPr>
          <w:rFonts w:ascii="Verdana" w:hAnsi="Verdana"/>
        </w:rPr>
        <w:t xml:space="preserve"> </w:t>
      </w:r>
      <w:r w:rsidR="00264C12">
        <w:rPr>
          <w:rFonts w:ascii="Verdana" w:hAnsi="Verdana"/>
        </w:rPr>
        <w:t>bir önceki dönemde ortaya konan</w:t>
      </w:r>
      <w:r w:rsidR="00992A36">
        <w:rPr>
          <w:rFonts w:ascii="Verdana" w:hAnsi="Verdana"/>
        </w:rPr>
        <w:t xml:space="preserve"> aşağıdaki konularda</w:t>
      </w:r>
      <w:r w:rsidR="00264C12">
        <w:rPr>
          <w:rFonts w:ascii="Verdana" w:hAnsi="Verdana"/>
        </w:rPr>
        <w:t xml:space="preserve"> hedef ve stratejilerinin gerçekleşmesini </w:t>
      </w:r>
      <w:r w:rsidRPr="00D96C0E">
        <w:rPr>
          <w:rFonts w:ascii="Verdana" w:hAnsi="Verdana"/>
        </w:rPr>
        <w:t>raporlar.</w:t>
      </w:r>
    </w:p>
    <w:p w:rsidR="00C84F8E" w:rsidRDefault="00C84F8E" w:rsidP="00C84F8E">
      <w:pPr>
        <w:jc w:val="both"/>
        <w:rPr>
          <w:rFonts w:ascii="Verdana" w:hAnsi="Verdana"/>
        </w:rPr>
      </w:pPr>
    </w:p>
    <w:p w:rsidR="00992A36" w:rsidRDefault="00992A36" w:rsidP="00F70524">
      <w:pPr>
        <w:numPr>
          <w:ilvl w:val="2"/>
          <w:numId w:val="7"/>
        </w:numPr>
        <w:ind w:left="1560" w:hanging="709"/>
        <w:jc w:val="both"/>
        <w:rPr>
          <w:rFonts w:ascii="Verdana" w:hAnsi="Verdana"/>
        </w:rPr>
      </w:pPr>
      <w:r w:rsidRPr="00992A36">
        <w:rPr>
          <w:rFonts w:ascii="Verdana" w:hAnsi="Verdana"/>
        </w:rPr>
        <w:t>Teslimat Performansları</w:t>
      </w:r>
      <w:r>
        <w:rPr>
          <w:rFonts w:ascii="Verdana" w:hAnsi="Verdana"/>
        </w:rPr>
        <w:t xml:space="preserve">, </w:t>
      </w:r>
    </w:p>
    <w:p w:rsidR="00992A36" w:rsidRDefault="00992A36" w:rsidP="00F70524">
      <w:pPr>
        <w:numPr>
          <w:ilvl w:val="2"/>
          <w:numId w:val="7"/>
        </w:numPr>
        <w:ind w:left="1560" w:hanging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Sipariş Karşılama oranları, </w:t>
      </w:r>
    </w:p>
    <w:p w:rsidR="00992A36" w:rsidRDefault="00992A36" w:rsidP="00F70524">
      <w:pPr>
        <w:numPr>
          <w:ilvl w:val="2"/>
          <w:numId w:val="7"/>
        </w:numPr>
        <w:ind w:left="1560" w:hanging="709"/>
        <w:jc w:val="both"/>
        <w:rPr>
          <w:rFonts w:ascii="Verdana" w:hAnsi="Verdana"/>
        </w:rPr>
      </w:pPr>
      <w:r>
        <w:rPr>
          <w:rFonts w:ascii="Verdana" w:hAnsi="Verdana"/>
        </w:rPr>
        <w:t>Tedarik Çevrim Süresi</w:t>
      </w:r>
    </w:p>
    <w:p w:rsidR="00C84F8E" w:rsidRPr="00992A36" w:rsidRDefault="00992A36" w:rsidP="00F70524">
      <w:pPr>
        <w:numPr>
          <w:ilvl w:val="2"/>
          <w:numId w:val="7"/>
        </w:numPr>
        <w:ind w:left="1560" w:hanging="709"/>
        <w:jc w:val="both"/>
        <w:rPr>
          <w:rFonts w:ascii="Verdana" w:hAnsi="Verdana"/>
        </w:rPr>
      </w:pPr>
      <w:r>
        <w:rPr>
          <w:rFonts w:ascii="Verdana" w:hAnsi="Verdana"/>
        </w:rPr>
        <w:t>Verimlilik ve Kapasite</w:t>
      </w:r>
    </w:p>
    <w:p w:rsidR="00C84F8E" w:rsidRPr="00D96C0E" w:rsidRDefault="00992A36" w:rsidP="00F70524">
      <w:pPr>
        <w:numPr>
          <w:ilvl w:val="2"/>
          <w:numId w:val="7"/>
        </w:numPr>
        <w:ind w:left="1560" w:hanging="709"/>
        <w:jc w:val="both"/>
        <w:rPr>
          <w:rFonts w:ascii="Verdana" w:hAnsi="Verdana"/>
        </w:rPr>
      </w:pPr>
      <w:r>
        <w:rPr>
          <w:rFonts w:ascii="Verdana" w:hAnsi="Verdana"/>
        </w:rPr>
        <w:t>Müşteri Memnuniyeti</w:t>
      </w:r>
    </w:p>
    <w:p w:rsidR="00C84F8E" w:rsidRPr="00D96C0E" w:rsidRDefault="00992A36" w:rsidP="00F70524">
      <w:pPr>
        <w:numPr>
          <w:ilvl w:val="2"/>
          <w:numId w:val="7"/>
        </w:numPr>
        <w:ind w:left="1560" w:hanging="709"/>
        <w:jc w:val="both"/>
        <w:rPr>
          <w:rFonts w:ascii="Verdana" w:hAnsi="Verdana"/>
        </w:rPr>
      </w:pPr>
      <w:r>
        <w:rPr>
          <w:rFonts w:ascii="Verdana" w:hAnsi="Verdana"/>
        </w:rPr>
        <w:t>Girdilerin temini ve üretimin devamlılığı</w:t>
      </w:r>
    </w:p>
    <w:p w:rsidR="00C84F8E" w:rsidRPr="00D96C0E" w:rsidRDefault="00992A36" w:rsidP="00F70524">
      <w:pPr>
        <w:numPr>
          <w:ilvl w:val="2"/>
          <w:numId w:val="7"/>
        </w:numPr>
        <w:ind w:left="1560" w:hanging="709"/>
        <w:jc w:val="both"/>
        <w:rPr>
          <w:rFonts w:ascii="Verdana" w:hAnsi="Verdana"/>
        </w:rPr>
      </w:pPr>
      <w:r>
        <w:rPr>
          <w:rFonts w:ascii="Verdana" w:hAnsi="Verdana"/>
        </w:rPr>
        <w:t>Kalite</w:t>
      </w:r>
    </w:p>
    <w:p w:rsidR="00C84F8E" w:rsidRPr="00D96C0E" w:rsidRDefault="00992A36" w:rsidP="00F70524">
      <w:pPr>
        <w:numPr>
          <w:ilvl w:val="2"/>
          <w:numId w:val="7"/>
        </w:numPr>
        <w:ind w:left="1560" w:hanging="709"/>
        <w:jc w:val="both"/>
        <w:rPr>
          <w:rFonts w:ascii="Verdana" w:hAnsi="Verdana"/>
        </w:rPr>
      </w:pPr>
      <w:r>
        <w:rPr>
          <w:rFonts w:ascii="Verdana" w:hAnsi="Verdana"/>
        </w:rPr>
        <w:t>Toplam Maliyetin Azaltılması</w:t>
      </w:r>
    </w:p>
    <w:p w:rsidR="00C84F8E" w:rsidRPr="00D96C0E" w:rsidRDefault="00C84F8E" w:rsidP="00504B9D">
      <w:pPr>
        <w:ind w:left="851"/>
        <w:jc w:val="both"/>
        <w:rPr>
          <w:rFonts w:ascii="Verdana" w:hAnsi="Verdana"/>
        </w:rPr>
      </w:pPr>
    </w:p>
    <w:p w:rsidR="00C84F8E" w:rsidRPr="00D96C0E" w:rsidRDefault="00C84F8E" w:rsidP="00C84F8E">
      <w:pPr>
        <w:jc w:val="both"/>
        <w:rPr>
          <w:rFonts w:ascii="Verdana" w:hAnsi="Verdana"/>
        </w:rPr>
      </w:pPr>
    </w:p>
    <w:p w:rsidR="00C84F8E" w:rsidRPr="00D96C0E" w:rsidRDefault="00C84F8E" w:rsidP="00F70524">
      <w:pPr>
        <w:numPr>
          <w:ilvl w:val="1"/>
          <w:numId w:val="7"/>
        </w:numPr>
        <w:ind w:left="851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92A36">
        <w:rPr>
          <w:rFonts w:ascii="Verdana" w:hAnsi="Verdana"/>
        </w:rPr>
        <w:t>Komite</w:t>
      </w:r>
      <w:r w:rsidRPr="00D96C0E">
        <w:rPr>
          <w:rFonts w:ascii="Verdana" w:hAnsi="Verdana"/>
        </w:rPr>
        <w:t xml:space="preserve">, </w:t>
      </w:r>
      <w:proofErr w:type="gramStart"/>
      <w:r w:rsidR="00721A04">
        <w:rPr>
          <w:rFonts w:ascii="Verdana" w:hAnsi="Verdana"/>
        </w:rPr>
        <w:t>5</w:t>
      </w:r>
      <w:r w:rsidRPr="00D96C0E">
        <w:rPr>
          <w:rFonts w:ascii="Verdana" w:hAnsi="Verdana"/>
        </w:rPr>
        <w:t>.3</w:t>
      </w:r>
      <w:r>
        <w:rPr>
          <w:rFonts w:ascii="Verdana" w:hAnsi="Verdana"/>
        </w:rPr>
        <w:t>’</w:t>
      </w:r>
      <w:r w:rsidRPr="00D96C0E">
        <w:rPr>
          <w:rFonts w:ascii="Verdana" w:hAnsi="Verdana"/>
        </w:rPr>
        <w:t>e</w:t>
      </w:r>
      <w:proofErr w:type="gramEnd"/>
      <w:r w:rsidRPr="00D96C0E">
        <w:rPr>
          <w:rFonts w:ascii="Verdana" w:hAnsi="Verdana"/>
        </w:rPr>
        <w:t xml:space="preserve"> göre belirlenen strateji ve politikalarla uyumunu görüşür, stratejilerden sapmalar; stratejik plan, performans programı, bütçeye uygunluk durumları değerlendirir.</w:t>
      </w:r>
    </w:p>
    <w:p w:rsidR="00C84F8E" w:rsidRPr="00D96C0E" w:rsidRDefault="00C84F8E" w:rsidP="00C84F8E">
      <w:pPr>
        <w:ind w:left="290"/>
        <w:jc w:val="both"/>
        <w:rPr>
          <w:rFonts w:ascii="Verdana" w:hAnsi="Verdana"/>
        </w:rPr>
      </w:pPr>
    </w:p>
    <w:p w:rsidR="00C84F8E" w:rsidRDefault="00C84F8E" w:rsidP="00F70524">
      <w:pPr>
        <w:numPr>
          <w:ilvl w:val="1"/>
          <w:numId w:val="7"/>
        </w:numPr>
        <w:ind w:left="851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96C0E">
        <w:rPr>
          <w:rFonts w:ascii="Verdana" w:hAnsi="Verdana"/>
        </w:rPr>
        <w:t>Bu değerlendirme sonucunda amaçlar ve sonuçlar arasında farklar varsa, kurum yöneticilerine bu farkları giderici tedbirler önerir.</w:t>
      </w:r>
    </w:p>
    <w:p w:rsidR="00C84F8E" w:rsidRDefault="00C84F8E" w:rsidP="00C84F8E">
      <w:pPr>
        <w:pStyle w:val="ListeParagraf"/>
        <w:rPr>
          <w:rFonts w:ascii="Verdana" w:hAnsi="Verdana"/>
        </w:rPr>
      </w:pPr>
    </w:p>
    <w:p w:rsidR="00C84F8E" w:rsidRDefault="00F70524" w:rsidP="00F70524">
      <w:pPr>
        <w:numPr>
          <w:ilvl w:val="1"/>
          <w:numId w:val="7"/>
        </w:numPr>
        <w:ind w:hanging="1116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92A36">
        <w:rPr>
          <w:rFonts w:ascii="Verdana" w:hAnsi="Verdana"/>
        </w:rPr>
        <w:t>Komite</w:t>
      </w:r>
      <w:r w:rsidR="00C84F8E" w:rsidRPr="00D96C0E">
        <w:rPr>
          <w:rFonts w:ascii="Verdana" w:hAnsi="Verdana"/>
        </w:rPr>
        <w:t>, hedeflerden sapmalarla ilgili gerekli tedbirleri almakla sorumludur.</w:t>
      </w:r>
    </w:p>
    <w:p w:rsidR="0055612A" w:rsidRDefault="0055612A" w:rsidP="0055612A">
      <w:pPr>
        <w:pStyle w:val="ListeParagraf"/>
        <w:rPr>
          <w:rFonts w:ascii="Verdana" w:hAnsi="Verdana"/>
        </w:rPr>
      </w:pPr>
    </w:p>
    <w:p w:rsidR="0055612A" w:rsidRDefault="0055612A" w:rsidP="0055612A">
      <w:pPr>
        <w:jc w:val="both"/>
        <w:rPr>
          <w:rFonts w:ascii="Verdana" w:hAnsi="Verdana"/>
        </w:rPr>
      </w:pPr>
    </w:p>
    <w:p w:rsidR="0055612A" w:rsidRDefault="0055612A" w:rsidP="0055612A">
      <w:pPr>
        <w:jc w:val="both"/>
        <w:rPr>
          <w:rFonts w:ascii="Verdana" w:hAnsi="Verdana"/>
          <w:b/>
        </w:rPr>
      </w:pPr>
      <w:r w:rsidRPr="0055612A">
        <w:rPr>
          <w:rFonts w:ascii="Verdana" w:hAnsi="Verdana"/>
          <w:b/>
        </w:rPr>
        <w:t xml:space="preserve">6. </w:t>
      </w:r>
      <w:proofErr w:type="gramStart"/>
      <w:r w:rsidRPr="0055612A">
        <w:rPr>
          <w:rFonts w:ascii="Verdana" w:hAnsi="Verdana"/>
          <w:b/>
        </w:rPr>
        <w:t>EKLER :</w:t>
      </w:r>
      <w:proofErr w:type="gramEnd"/>
    </w:p>
    <w:p w:rsidR="0055612A" w:rsidRDefault="00FE5E9D" w:rsidP="0055612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-</w:t>
      </w:r>
      <w:hyperlink r:id="rId7" w:history="1">
        <w:r w:rsidRPr="005C1460">
          <w:rPr>
            <w:rStyle w:val="Kpr"/>
            <w:rFonts w:ascii="Verdana" w:hAnsi="Verdana"/>
            <w:b/>
          </w:rPr>
          <w:t xml:space="preserve"> Tedarik Zinciri Hedef ve Gerçekleşme Toplantı Raporu</w:t>
        </w:r>
      </w:hyperlink>
    </w:p>
    <w:p w:rsidR="0055612A" w:rsidRDefault="002A11FF" w:rsidP="0055612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>- Kilim Stra</w:t>
      </w:r>
      <w:r w:rsidR="00B655CB">
        <w:rPr>
          <w:rFonts w:ascii="Verdana" w:hAnsi="Verdana"/>
          <w:b/>
        </w:rPr>
        <w:t>te</w:t>
      </w:r>
      <w:r>
        <w:rPr>
          <w:rFonts w:ascii="Verdana" w:hAnsi="Verdana"/>
          <w:b/>
        </w:rPr>
        <w:t>jik Plan</w:t>
      </w:r>
    </w:p>
    <w:p w:rsidR="0055612A" w:rsidRDefault="0055612A" w:rsidP="0055612A">
      <w:pPr>
        <w:jc w:val="both"/>
        <w:rPr>
          <w:rFonts w:ascii="Verdana" w:hAnsi="Verdana"/>
          <w:b/>
        </w:rPr>
      </w:pPr>
    </w:p>
    <w:p w:rsidR="0055612A" w:rsidRPr="0055612A" w:rsidRDefault="0055612A" w:rsidP="0055612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7. </w:t>
      </w:r>
      <w:proofErr w:type="gramStart"/>
      <w:r>
        <w:rPr>
          <w:rFonts w:ascii="Verdana" w:hAnsi="Verdana"/>
          <w:b/>
        </w:rPr>
        <w:t>REFERANSLAR :</w:t>
      </w:r>
      <w:proofErr w:type="gramEnd"/>
    </w:p>
    <w:sectPr w:rsidR="0055612A" w:rsidRPr="0055612A" w:rsidSect="00C84F8E">
      <w:headerReference w:type="default" r:id="rId8"/>
      <w:pgSz w:w="11906" w:h="16838"/>
      <w:pgMar w:top="719" w:right="991" w:bottom="899" w:left="993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67" w:rsidRDefault="00341767" w:rsidP="004F18B7">
      <w:r>
        <w:separator/>
      </w:r>
    </w:p>
  </w:endnote>
  <w:endnote w:type="continuationSeparator" w:id="0">
    <w:p w:rsidR="00341767" w:rsidRDefault="00341767" w:rsidP="004F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67" w:rsidRDefault="00341767" w:rsidP="004F18B7">
      <w:r>
        <w:separator/>
      </w:r>
    </w:p>
  </w:footnote>
  <w:footnote w:type="continuationSeparator" w:id="0">
    <w:p w:rsidR="00341767" w:rsidRDefault="00341767" w:rsidP="004F1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70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977"/>
      <w:gridCol w:w="7513"/>
    </w:tblGrid>
    <w:tr w:rsidR="00390FBA" w:rsidRPr="005C3877" w:rsidTr="00F73736">
      <w:trPr>
        <w:cantSplit/>
        <w:trHeight w:val="1674"/>
      </w:trPr>
      <w:tc>
        <w:tcPr>
          <w:tcW w:w="297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390FBA" w:rsidRPr="00895F30" w:rsidRDefault="00390FBA" w:rsidP="001601D7">
          <w:pPr>
            <w:tabs>
              <w:tab w:val="left" w:pos="7560"/>
            </w:tabs>
            <w:jc w:val="center"/>
            <w:rPr>
              <w:rFonts w:ascii="Verdana" w:hAnsi="Verdana" w:cs="Arial"/>
              <w:b/>
              <w:sz w:val="14"/>
              <w:szCs w:val="14"/>
            </w:rPr>
          </w:pPr>
        </w:p>
        <w:p w:rsidR="00390FBA" w:rsidRPr="00895F30" w:rsidRDefault="00390FBA" w:rsidP="001601D7">
          <w:pPr>
            <w:tabs>
              <w:tab w:val="left" w:pos="2735"/>
            </w:tabs>
            <w:jc w:val="center"/>
            <w:rPr>
              <w:rFonts w:ascii="Verdana" w:hAnsi="Verdana" w:cs="Arial"/>
              <w:sz w:val="14"/>
              <w:szCs w:val="14"/>
            </w:rPr>
          </w:pPr>
          <w:r w:rsidRPr="002769E0">
            <w:rPr>
              <w:rFonts w:ascii="Verdana" w:hAnsi="Verdana" w:cs="Arial"/>
              <w:sz w:val="14"/>
              <w:szCs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8.9pt;height:49.4pt;mso-position-horizontal-relative:char;mso-position-vertical-relative:line">
                <v:imagedata r:id="rId1" o:title=""/>
              </v:shape>
            </w:pict>
          </w:r>
        </w:p>
        <w:p w:rsidR="00390FBA" w:rsidRPr="00720280" w:rsidRDefault="00390FBA" w:rsidP="001601D7">
          <w:pPr>
            <w:jc w:val="center"/>
            <w:rPr>
              <w:rFonts w:ascii="Verdana" w:hAnsi="Verdana" w:cs="Arial"/>
              <w:sz w:val="14"/>
              <w:szCs w:val="14"/>
            </w:rPr>
          </w:pPr>
        </w:p>
        <w:p w:rsidR="00390FBA" w:rsidRPr="00895F30" w:rsidRDefault="00390FBA" w:rsidP="001601D7">
          <w:pPr>
            <w:jc w:val="center"/>
            <w:rPr>
              <w:rFonts w:ascii="Verdana" w:hAnsi="Verdana" w:cs="Arial"/>
              <w:sz w:val="14"/>
              <w:szCs w:val="14"/>
            </w:rPr>
          </w:pPr>
          <w:r w:rsidRPr="005E1EF2">
            <w:rPr>
              <w:rFonts w:ascii="Verdana" w:hAnsi="Verdana"/>
              <w:b/>
              <w:color w:val="000000"/>
              <w:sz w:val="14"/>
              <w:szCs w:val="14"/>
            </w:rPr>
            <w:t xml:space="preserve">KİLİM MOB. KANEPE </w:t>
          </w:r>
          <w:proofErr w:type="gramStart"/>
          <w:r w:rsidRPr="005E1EF2">
            <w:rPr>
              <w:rFonts w:ascii="Verdana" w:hAnsi="Verdana"/>
              <w:b/>
              <w:color w:val="000000"/>
              <w:sz w:val="14"/>
              <w:szCs w:val="14"/>
            </w:rPr>
            <w:t>SAN.VE</w:t>
          </w:r>
          <w:proofErr w:type="gramEnd"/>
          <w:r w:rsidRPr="005E1EF2">
            <w:rPr>
              <w:rFonts w:ascii="Verdana" w:hAnsi="Verdana"/>
              <w:b/>
              <w:color w:val="000000"/>
              <w:sz w:val="14"/>
              <w:szCs w:val="14"/>
            </w:rPr>
            <w:t xml:space="preserve"> TİC.A.Ş.</w:t>
          </w:r>
        </w:p>
      </w:tc>
      <w:tc>
        <w:tcPr>
          <w:tcW w:w="7513" w:type="dxa"/>
          <w:tcBorders>
            <w:top w:val="thinThickSmallGap" w:sz="24" w:space="0" w:color="auto"/>
            <w:left w:val="single" w:sz="4" w:space="0" w:color="auto"/>
            <w:right w:val="thinThickSmallGap" w:sz="24" w:space="0" w:color="auto"/>
          </w:tcBorders>
          <w:shd w:val="clear" w:color="auto" w:fill="auto"/>
          <w:vAlign w:val="center"/>
        </w:tcPr>
        <w:p w:rsidR="00390FBA" w:rsidRPr="00341767" w:rsidRDefault="00390FBA" w:rsidP="001601D7">
          <w:pPr>
            <w:pStyle w:val="Balk1"/>
            <w:jc w:val="center"/>
            <w:rPr>
              <w:rFonts w:ascii="Verdana" w:hAnsi="Verdana" w:cs="Arial"/>
              <w:sz w:val="26"/>
              <w:szCs w:val="26"/>
              <w:lang w:val="tr-TR" w:eastAsia="tr-TR"/>
            </w:rPr>
          </w:pPr>
          <w:r w:rsidRPr="002A1292">
            <w:rPr>
              <w:rFonts w:ascii="Verdana" w:hAnsi="Verdana"/>
              <w:sz w:val="28"/>
              <w:szCs w:val="28"/>
              <w:lang w:val="tr-TR" w:eastAsia="tr-TR"/>
            </w:rPr>
            <w:t>TEDARİK ZİNCİRİ STRATEJİ GELİŞTİRME PROSEDÜRÜ</w:t>
          </w:r>
        </w:p>
        <w:p w:rsidR="00390FBA" w:rsidRPr="005C3877" w:rsidRDefault="00390FBA" w:rsidP="00390FBA">
          <w:pPr>
            <w:spacing w:before="60" w:after="60"/>
            <w:rPr>
              <w:rFonts w:ascii="Verdana" w:hAnsi="Verdana" w:cs="Arial"/>
              <w:sz w:val="16"/>
              <w:szCs w:val="16"/>
            </w:rPr>
          </w:pPr>
        </w:p>
        <w:p w:rsidR="00390FBA" w:rsidRPr="005C3877" w:rsidRDefault="00390FBA" w:rsidP="001601D7">
          <w:pPr>
            <w:spacing w:before="60" w:after="60"/>
            <w:rPr>
              <w:rFonts w:ascii="Verdana" w:hAnsi="Verdana" w:cs="Arial"/>
              <w:sz w:val="16"/>
              <w:szCs w:val="16"/>
            </w:rPr>
          </w:pPr>
        </w:p>
      </w:tc>
    </w:tr>
  </w:tbl>
  <w:p w:rsidR="00DA23BA" w:rsidRDefault="00DA23BA" w:rsidP="00F7052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45A"/>
    <w:multiLevelType w:val="multilevel"/>
    <w:tmpl w:val="C504B9F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30"/>
        </w:tabs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70"/>
        </w:tabs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440"/>
      </w:pPr>
      <w:rPr>
        <w:rFonts w:hint="default"/>
      </w:rPr>
    </w:lvl>
  </w:abstractNum>
  <w:abstractNum w:abstractNumId="1">
    <w:nsid w:val="0A756167"/>
    <w:multiLevelType w:val="hybridMultilevel"/>
    <w:tmpl w:val="F53ED5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A6A44"/>
    <w:multiLevelType w:val="hybridMultilevel"/>
    <w:tmpl w:val="FE2A3160"/>
    <w:lvl w:ilvl="0" w:tplc="99AAB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54BCC"/>
    <w:multiLevelType w:val="multilevel"/>
    <w:tmpl w:val="FE6E73E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00"/>
        </w:tabs>
        <w:ind w:left="1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30"/>
        </w:tabs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70"/>
        </w:tabs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440"/>
      </w:pPr>
      <w:rPr>
        <w:rFonts w:hint="default"/>
      </w:rPr>
    </w:lvl>
  </w:abstractNum>
  <w:abstractNum w:abstractNumId="4">
    <w:nsid w:val="4CEC38D6"/>
    <w:multiLevelType w:val="hybridMultilevel"/>
    <w:tmpl w:val="0A8E3BC4"/>
    <w:lvl w:ilvl="0" w:tplc="34305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170660"/>
    <w:multiLevelType w:val="hybridMultilevel"/>
    <w:tmpl w:val="E00EFB94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2D6648"/>
    <w:multiLevelType w:val="hybridMultilevel"/>
    <w:tmpl w:val="693ED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27E88"/>
    <w:multiLevelType w:val="multilevel"/>
    <w:tmpl w:val="DD06E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21"/>
    <w:rsid w:val="00036F99"/>
    <w:rsid w:val="0005110B"/>
    <w:rsid w:val="00056D0D"/>
    <w:rsid w:val="000B7E92"/>
    <w:rsid w:val="001601D7"/>
    <w:rsid w:val="001A3593"/>
    <w:rsid w:val="001B4393"/>
    <w:rsid w:val="00264C12"/>
    <w:rsid w:val="00270545"/>
    <w:rsid w:val="002769E0"/>
    <w:rsid w:val="00295F3A"/>
    <w:rsid w:val="002A11FF"/>
    <w:rsid w:val="002A1292"/>
    <w:rsid w:val="00341767"/>
    <w:rsid w:val="003702BB"/>
    <w:rsid w:val="00390FBA"/>
    <w:rsid w:val="003A5508"/>
    <w:rsid w:val="003C6167"/>
    <w:rsid w:val="004404C4"/>
    <w:rsid w:val="004B5B46"/>
    <w:rsid w:val="004D63CA"/>
    <w:rsid w:val="004E091E"/>
    <w:rsid w:val="004F18B7"/>
    <w:rsid w:val="00504B9D"/>
    <w:rsid w:val="0055612A"/>
    <w:rsid w:val="00590B07"/>
    <w:rsid w:val="005C1460"/>
    <w:rsid w:val="0061563E"/>
    <w:rsid w:val="00665F9C"/>
    <w:rsid w:val="00721A04"/>
    <w:rsid w:val="00786459"/>
    <w:rsid w:val="00847A40"/>
    <w:rsid w:val="00872C43"/>
    <w:rsid w:val="00902855"/>
    <w:rsid w:val="00965E5E"/>
    <w:rsid w:val="0099071D"/>
    <w:rsid w:val="00992A36"/>
    <w:rsid w:val="009C6C12"/>
    <w:rsid w:val="00A11417"/>
    <w:rsid w:val="00A23426"/>
    <w:rsid w:val="00A52A67"/>
    <w:rsid w:val="00AC0A21"/>
    <w:rsid w:val="00B266F5"/>
    <w:rsid w:val="00B655CB"/>
    <w:rsid w:val="00C237DD"/>
    <w:rsid w:val="00C71E2B"/>
    <w:rsid w:val="00C84F8E"/>
    <w:rsid w:val="00CB7ED2"/>
    <w:rsid w:val="00CF2B0F"/>
    <w:rsid w:val="00D91C8B"/>
    <w:rsid w:val="00D96C0E"/>
    <w:rsid w:val="00DA23BA"/>
    <w:rsid w:val="00EF5F2B"/>
    <w:rsid w:val="00F15DF6"/>
    <w:rsid w:val="00F70524"/>
    <w:rsid w:val="00FE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A21"/>
  </w:style>
  <w:style w:type="paragraph" w:styleId="Balk1">
    <w:name w:val="heading 1"/>
    <w:basedOn w:val="Normal"/>
    <w:next w:val="Normal"/>
    <w:link w:val="Balk1Char"/>
    <w:qFormat/>
    <w:rsid w:val="00DA2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Balk3">
    <w:name w:val="heading 3"/>
    <w:basedOn w:val="Normal"/>
    <w:next w:val="Normal"/>
    <w:qFormat/>
    <w:rsid w:val="00CB7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52A6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B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4F18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18B7"/>
  </w:style>
  <w:style w:type="paragraph" w:styleId="Altbilgi">
    <w:name w:val="footer"/>
    <w:basedOn w:val="Normal"/>
    <w:link w:val="AltbilgiChar"/>
    <w:rsid w:val="004F18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18B7"/>
  </w:style>
  <w:style w:type="paragraph" w:styleId="ListeParagraf">
    <w:name w:val="List Paragraph"/>
    <w:basedOn w:val="Normal"/>
    <w:uiPriority w:val="34"/>
    <w:qFormat/>
    <w:rsid w:val="004F18B7"/>
    <w:pPr>
      <w:ind w:left="708"/>
    </w:pPr>
  </w:style>
  <w:style w:type="character" w:customStyle="1" w:styleId="Balk1Char">
    <w:name w:val="Başlık 1 Char"/>
    <w:link w:val="Balk1"/>
    <w:rsid w:val="00DA2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ayfaNumaras">
    <w:name w:val="page number"/>
    <w:basedOn w:val="VarsaylanParagrafYazTipi"/>
    <w:rsid w:val="00DA23BA"/>
  </w:style>
  <w:style w:type="character" w:styleId="Kpr">
    <w:name w:val="Hyperlink"/>
    <w:rsid w:val="005C1460"/>
    <w:rPr>
      <w:color w:val="0000FF"/>
      <w:u w:val="single"/>
    </w:rPr>
  </w:style>
  <w:style w:type="character" w:styleId="zlenenKpr">
    <w:name w:val="FollowedHyperlink"/>
    <w:rsid w:val="001B43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imete\1.7.%20Tedarik%20Zinciri%20Yonetimi\7-%20Tedarik%20Zinciri%20Yonetimi\7.2.m.%20Strateji%20Gelistirme%20Prosed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../7.2.m. Strateji Gelistirme Prosedur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KARAKUŞ</dc:creator>
  <cp:lastModifiedBy>Sevgi Tekin</cp:lastModifiedBy>
  <cp:revision>3</cp:revision>
  <cp:lastPrinted>2009-05-15T12:46:00Z</cp:lastPrinted>
  <dcterms:created xsi:type="dcterms:W3CDTF">2012-10-11T09:02:00Z</dcterms:created>
  <dcterms:modified xsi:type="dcterms:W3CDTF">2012-10-13T06:09:00Z</dcterms:modified>
</cp:coreProperties>
</file>